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6DFCAC">
      <w:pPr>
        <w:jc w:val="center"/>
        <w:rPr>
          <w:rFonts w:hint="default" w:ascii="Times New Roman" w:hAnsi="Times New Roman" w:cs="Times New Roman"/>
          <w:sz w:val="32"/>
          <w:szCs w:val="32"/>
        </w:rPr>
      </w:pPr>
      <w:r>
        <w:rPr>
          <w:rFonts w:hint="default" w:ascii="Times New Roman" w:hAnsi="Times New Roman" w:cs="Times New Roman"/>
          <w:sz w:val="32"/>
          <w:szCs w:val="32"/>
        </w:rPr>
        <w:t>2π光通量计校准规范（制定）</w:t>
      </w:r>
    </w:p>
    <w:p w14:paraId="724CDF8F">
      <w:pPr>
        <w:jc w:val="center"/>
        <w:rPr>
          <w:rFonts w:hint="default" w:ascii="Times New Roman" w:hAnsi="Times New Roman" w:cs="Times New Roman"/>
          <w:sz w:val="32"/>
          <w:szCs w:val="32"/>
        </w:rPr>
      </w:pPr>
      <w:r>
        <w:rPr>
          <w:rFonts w:hint="default" w:ascii="Times New Roman" w:hAnsi="Times New Roman" w:cs="Times New Roman"/>
          <w:sz w:val="32"/>
          <w:szCs w:val="32"/>
        </w:rPr>
        <w:t>编制说明</w:t>
      </w:r>
    </w:p>
    <w:p w14:paraId="493105FE">
      <w:pPr>
        <w:numPr>
          <w:ilvl w:val="0"/>
          <w:numId w:val="1"/>
        </w:numPr>
        <w:spacing w:line="400" w:lineRule="exact"/>
        <w:rPr>
          <w:sz w:val="28"/>
          <w:szCs w:val="28"/>
        </w:rPr>
      </w:pPr>
      <w:r>
        <w:rPr>
          <w:rFonts w:hint="eastAsia"/>
          <w:sz w:val="28"/>
          <w:szCs w:val="28"/>
        </w:rPr>
        <w:t>任务来源</w:t>
      </w:r>
    </w:p>
    <w:p w14:paraId="78BFB078">
      <w:pPr>
        <w:spacing w:line="400" w:lineRule="exact"/>
        <w:ind w:firstLine="57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本</w:t>
      </w:r>
      <w:r>
        <w:rPr>
          <w:rFonts w:hint="default" w:ascii="Times New Roman" w:hAnsi="Times New Roman" w:eastAsia="宋体" w:cs="Times New Roman"/>
          <w:color w:val="auto"/>
          <w:sz w:val="28"/>
          <w:szCs w:val="28"/>
        </w:rPr>
        <w:t>规范</w:t>
      </w:r>
      <w:r>
        <w:rPr>
          <w:rFonts w:hint="default" w:ascii="Times New Roman" w:hAnsi="Times New Roman" w:eastAsia="宋体" w:cs="Times New Roman"/>
          <w:sz w:val="28"/>
          <w:szCs w:val="28"/>
        </w:rPr>
        <w:t>的</w:t>
      </w:r>
      <w:r>
        <w:rPr>
          <w:rFonts w:hint="default" w:ascii="Times New Roman" w:hAnsi="Times New Roman" w:eastAsia="宋体" w:cs="Times New Roman"/>
          <w:color w:val="auto"/>
          <w:sz w:val="28"/>
          <w:szCs w:val="28"/>
        </w:rPr>
        <w:t>制定</w:t>
      </w:r>
      <w:r>
        <w:rPr>
          <w:rFonts w:hint="default" w:ascii="Times New Roman" w:hAnsi="Times New Roman" w:eastAsia="宋体" w:cs="Times New Roman"/>
          <w:sz w:val="28"/>
          <w:szCs w:val="28"/>
        </w:rPr>
        <w:t>工作是按照</w:t>
      </w:r>
      <w:r>
        <w:rPr>
          <w:rFonts w:hint="default" w:ascii="Times New Roman" w:hAnsi="Times New Roman" w:eastAsia="宋体" w:cs="Times New Roman"/>
          <w:sz w:val="28"/>
          <w:szCs w:val="28"/>
          <w:lang w:eastAsia="zh-CN"/>
        </w:rPr>
        <w:t>《市场监管总局办公厅关于印发2025年国家计量技术规范制定、修订及宣贯计划的通知》</w:t>
      </w:r>
      <w:r>
        <w:rPr>
          <w:rFonts w:hint="default" w:ascii="Times New Roman" w:hAnsi="Times New Roman" w:eastAsia="宋体" w:cs="Times New Roman"/>
          <w:color w:val="auto"/>
          <w:sz w:val="28"/>
          <w:szCs w:val="28"/>
        </w:rPr>
        <w:t>要求</w:t>
      </w:r>
      <w:r>
        <w:rPr>
          <w:rFonts w:hint="default" w:ascii="Times New Roman" w:hAnsi="Times New Roman" w:eastAsia="宋体" w:cs="Times New Roman"/>
          <w:sz w:val="28"/>
          <w:szCs w:val="28"/>
        </w:rPr>
        <w:t>开展的。</w:t>
      </w:r>
    </w:p>
    <w:p w14:paraId="6CE1EB92">
      <w:pPr>
        <w:spacing w:line="400" w:lineRule="exact"/>
        <w:ind w:firstLine="57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规程</w:t>
      </w:r>
      <w:r>
        <w:rPr>
          <w:rFonts w:hint="default" w:ascii="Times New Roman" w:hAnsi="Times New Roman" w:eastAsia="宋体" w:cs="Times New Roman"/>
          <w:color w:val="auto"/>
          <w:sz w:val="28"/>
          <w:szCs w:val="28"/>
        </w:rPr>
        <w:t>制定</w:t>
      </w:r>
      <w:r>
        <w:rPr>
          <w:rFonts w:hint="default" w:ascii="Times New Roman" w:hAnsi="Times New Roman" w:eastAsia="宋体" w:cs="Times New Roman"/>
          <w:sz w:val="28"/>
          <w:szCs w:val="28"/>
        </w:rPr>
        <w:t>完成单位为：</w:t>
      </w:r>
    </w:p>
    <w:p w14:paraId="3217232C">
      <w:pPr>
        <w:spacing w:line="400" w:lineRule="exact"/>
        <w:ind w:firstLine="570"/>
        <w:rPr>
          <w:rFonts w:hint="eastAsia" w:ascii="宋体" w:cs="宋体"/>
          <w:kern w:val="0"/>
          <w:sz w:val="28"/>
          <w:szCs w:val="28"/>
        </w:rPr>
      </w:pPr>
      <w:r>
        <w:rPr>
          <w:rFonts w:hint="default" w:ascii="Times New Roman" w:hAnsi="Times New Roman" w:cs="Times New Roman"/>
          <w:sz w:val="28"/>
        </w:rPr>
        <w:t>中国计量科学研究院、</w:t>
      </w:r>
      <w:r>
        <w:rPr>
          <w:rFonts w:hint="default" w:ascii="Times New Roman" w:hAnsi="Times New Roman" w:cs="Times New Roman"/>
          <w:kern w:val="0"/>
          <w:sz w:val="28"/>
          <w:szCs w:val="28"/>
          <w:lang w:val="en-US" w:eastAsia="zh-CN"/>
        </w:rPr>
        <w:t>苏州市计量测试院</w:t>
      </w:r>
      <w:r>
        <w:rPr>
          <w:rFonts w:hint="default" w:ascii="Times New Roman" w:hAnsi="Times New Roman" w:cs="Times New Roman"/>
          <w:kern w:val="0"/>
          <w:sz w:val="28"/>
          <w:szCs w:val="28"/>
        </w:rPr>
        <w:t>。</w:t>
      </w:r>
    </w:p>
    <w:p w14:paraId="3156F83A">
      <w:pPr>
        <w:spacing w:line="400" w:lineRule="exact"/>
        <w:ind w:firstLine="570"/>
        <w:rPr>
          <w:rFonts w:hint="eastAsia" w:ascii="宋体" w:cs="宋体"/>
          <w:kern w:val="0"/>
          <w:sz w:val="28"/>
          <w:szCs w:val="28"/>
        </w:rPr>
      </w:pPr>
    </w:p>
    <w:p w14:paraId="561025D9">
      <w:pPr>
        <w:numPr>
          <w:ilvl w:val="0"/>
          <w:numId w:val="1"/>
        </w:numPr>
        <w:spacing w:line="400" w:lineRule="exact"/>
        <w:rPr>
          <w:sz w:val="28"/>
          <w:szCs w:val="28"/>
        </w:rPr>
      </w:pPr>
      <w:r>
        <w:rPr>
          <w:rFonts w:hint="eastAsia"/>
          <w:sz w:val="28"/>
          <w:szCs w:val="28"/>
        </w:rPr>
        <w:t>目的、意义，国内外现状和需求</w:t>
      </w:r>
    </w:p>
    <w:p w14:paraId="3FDCED7C">
      <w:pPr>
        <w:spacing w:line="400" w:lineRule="exact"/>
        <w:ind w:firstLine="570"/>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eastAsia="zh-CN"/>
        </w:rPr>
        <w:t>2π光通量计是一种仪器，用于测量通过特定截面的光通量，适用于测量发光立体角不超过2π的光源（如贴片式LED、光纤光源等）的总光通量值。2π光通量计</w:t>
      </w:r>
      <w:r>
        <w:rPr>
          <w:rFonts w:hint="default" w:ascii="Times New Roman" w:hAnsi="Times New Roman" w:eastAsia="宋体" w:cs="Times New Roman"/>
          <w:sz w:val="28"/>
          <w:szCs w:val="28"/>
          <w:lang w:val="en-US" w:eastAsia="zh-CN"/>
        </w:rPr>
        <w:t>通常由开口积分球和光度测量装置组成。光度测量装置按原理不同可分为积分型和光谱型。其中常见的积分型光度测量装置由带有</w:t>
      </w:r>
      <w:r>
        <w:rPr>
          <w:rFonts w:hint="default" w:ascii="Times New Roman" w:hAnsi="Times New Roman" w:eastAsia="宋体" w:cs="Times New Roman"/>
          <w:i/>
          <w:iCs/>
          <w:sz w:val="28"/>
          <w:szCs w:val="28"/>
          <w:lang w:val="en-US" w:eastAsia="zh-CN"/>
        </w:rPr>
        <w:t>V</w:t>
      </w:r>
      <w:r>
        <w:rPr>
          <w:rFonts w:hint="default" w:ascii="Times New Roman" w:hAnsi="Times New Roman" w:eastAsia="宋体" w:cs="Times New Roman"/>
          <w:sz w:val="28"/>
          <w:szCs w:val="28"/>
          <w:lang w:val="en-US" w:eastAsia="zh-CN"/>
        </w:rPr>
        <w:t>(</w:t>
      </w:r>
      <w:r>
        <w:rPr>
          <w:rFonts w:hint="default" w:ascii="Times New Roman" w:hAnsi="Times New Roman" w:eastAsia="宋体" w:cs="Times New Roman"/>
          <w:i/>
          <w:iCs/>
          <w:sz w:val="28"/>
          <w:szCs w:val="28"/>
          <w:lang w:val="en-US" w:eastAsia="zh-CN"/>
        </w:rPr>
        <w:t>λ</w:t>
      </w:r>
      <w:r>
        <w:rPr>
          <w:rFonts w:hint="default" w:ascii="Times New Roman" w:hAnsi="Times New Roman" w:eastAsia="宋体" w:cs="Times New Roman"/>
          <w:sz w:val="28"/>
          <w:szCs w:val="28"/>
          <w:lang w:val="en-US" w:eastAsia="zh-CN"/>
        </w:rPr>
        <w:t>)滤色器的光度探头、I</w:t>
      </w:r>
      <w:r>
        <w:rPr>
          <w:rFonts w:hint="eastAsia" w:ascii="Times New Roman" w:hAnsi="Times New Roman" w:eastAsia="宋体" w:cs="Times New Roman"/>
          <w:sz w:val="28"/>
          <w:szCs w:val="28"/>
          <w:lang w:val="en-US" w:eastAsia="zh-CN"/>
        </w:rPr>
        <w:t>/</w:t>
      </w:r>
      <w:r>
        <w:rPr>
          <w:rFonts w:hint="default" w:ascii="Times New Roman" w:hAnsi="Times New Roman" w:eastAsia="宋体" w:cs="Times New Roman"/>
          <w:sz w:val="28"/>
          <w:szCs w:val="28"/>
          <w:lang w:val="en-US" w:eastAsia="zh-CN"/>
        </w:rPr>
        <w:t>V放大器和显示单元组成；常见的光谱型光度测量装置由光纤收集器、</w:t>
      </w:r>
      <w:r>
        <w:rPr>
          <w:rFonts w:hint="default" w:ascii="Times New Roman" w:hAnsi="Times New Roman" w:eastAsia="宋体" w:cs="Times New Roman"/>
          <w:sz w:val="28"/>
          <w:szCs w:val="28"/>
          <w:lang w:eastAsia="zh-CN"/>
        </w:rPr>
        <w:t>具备光度读数功能的</w:t>
      </w:r>
      <w:r>
        <w:rPr>
          <w:rFonts w:hint="default" w:ascii="Times New Roman" w:hAnsi="Times New Roman" w:eastAsia="宋体" w:cs="Times New Roman"/>
          <w:sz w:val="28"/>
          <w:szCs w:val="28"/>
          <w:lang w:val="en-US" w:eastAsia="zh-CN"/>
        </w:rPr>
        <w:t>光纤光谱仪辐射计和计算机组成。</w:t>
      </w:r>
      <w:r>
        <w:rPr>
          <w:rFonts w:hint="default" w:ascii="Times New Roman" w:hAnsi="Times New Roman" w:eastAsia="宋体" w:cs="Times New Roman"/>
          <w:sz w:val="28"/>
          <w:szCs w:val="28"/>
          <w:lang w:eastAsia="zh-CN"/>
        </w:rPr>
        <w:t>其原理成熟，操作简便。</w:t>
      </w:r>
    </w:p>
    <w:p w14:paraId="65EE44B8">
      <w:pPr>
        <w:spacing w:line="400" w:lineRule="exact"/>
        <w:ind w:firstLine="570"/>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光通量计可评估方向型光源的总发光量，例如照明用光纤光源、医疗内窥镜、</w:t>
      </w:r>
      <w:r>
        <w:rPr>
          <w:rFonts w:hint="default" w:ascii="Times New Roman" w:hAnsi="Times New Roman" w:eastAsia="宋体" w:cs="Times New Roman"/>
          <w:sz w:val="28"/>
          <w:szCs w:val="28"/>
          <w:lang w:val="en-US" w:eastAsia="zh-CN"/>
        </w:rPr>
        <w:t>强光手电、前照灯</w:t>
      </w:r>
      <w:r>
        <w:rPr>
          <w:rFonts w:hint="default" w:ascii="Times New Roman" w:hAnsi="Times New Roman" w:eastAsia="宋体" w:cs="Times New Roman"/>
          <w:sz w:val="28"/>
          <w:szCs w:val="28"/>
          <w:lang w:eastAsia="zh-CN"/>
        </w:rPr>
        <w:t>等。其在照明、医疗器械、汽车等领域具有广泛的测量应用。</w:t>
      </w:r>
    </w:p>
    <w:p w14:paraId="071AEC5B">
      <w:pPr>
        <w:spacing w:line="400" w:lineRule="exact"/>
        <w:ind w:firstLine="570"/>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目前，国内多家光学计量仪器生产厂家已研发并销售2π光通量计，我国台湾地区也有同类产品销售。随着光纤光源等特殊用途光源的不断增加，从事电光源检测的计量机构、质检机构、电光源生产厂家以及科研机构（如各地计量院和检测实验室等）均已开始采用2π光通量计进行计量测试工作。</w:t>
      </w:r>
      <w:r>
        <w:rPr>
          <w:rFonts w:hint="default" w:ascii="Times New Roman" w:hAnsi="Times New Roman" w:eastAsia="宋体" w:cs="Times New Roman"/>
          <w:sz w:val="28"/>
          <w:szCs w:val="28"/>
          <w:lang w:val="en-US" w:eastAsia="zh-CN"/>
        </w:rPr>
        <w:t>目前，国内部分计量技术机构和检测单位装备有2π光通量计量值所需要的硬件设备，具有开展2π光通量计计量相关的硬件条件。</w:t>
      </w:r>
    </w:p>
    <w:p w14:paraId="13E4CC10">
      <w:pPr>
        <w:spacing w:line="400" w:lineRule="exact"/>
        <w:ind w:firstLine="570"/>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该仪器的应用逐渐增多，但尚无相应的标准和规范。</w:t>
      </w:r>
      <w:r>
        <w:rPr>
          <w:rFonts w:hint="eastAsia" w:ascii="Times New Roman" w:hAnsi="Times New Roman" w:eastAsia="宋体" w:cs="Times New Roman"/>
          <w:sz w:val="28"/>
          <w:szCs w:val="28"/>
          <w:lang w:val="en-US" w:eastAsia="zh-CN"/>
        </w:rPr>
        <w:t>在技术上，</w:t>
      </w:r>
      <w:r>
        <w:rPr>
          <w:rFonts w:hint="default" w:ascii="Times New Roman" w:hAnsi="Times New Roman" w:eastAsia="宋体" w:cs="Times New Roman"/>
          <w:sz w:val="28"/>
          <w:szCs w:val="28"/>
          <w:lang w:eastAsia="zh-CN"/>
        </w:rPr>
        <w:t>校准2π光通量计可使用以下标准：发光强度标准灯</w:t>
      </w:r>
      <w:r>
        <w:rPr>
          <w:rFonts w:hint="eastAsia" w:ascii="Times New Roman" w:hAnsi="Times New Roman" w:eastAsia="宋体" w:cs="Times New Roman"/>
          <w:sz w:val="28"/>
          <w:szCs w:val="28"/>
          <w:lang w:val="en-US" w:eastAsia="zh-CN"/>
        </w:rPr>
        <w:t>和光阑面积</w:t>
      </w:r>
      <w:r>
        <w:rPr>
          <w:rFonts w:hint="default" w:ascii="Times New Roman" w:hAnsi="Times New Roman" w:eastAsia="宋体" w:cs="Times New Roman"/>
          <w:sz w:val="28"/>
          <w:szCs w:val="28"/>
          <w:lang w:eastAsia="zh-CN"/>
        </w:rPr>
        <w:t>、LED标准管、总光通量标准灯。光通量量值可溯源至总光通量国家基准或发光强度国家基准。</w:t>
      </w:r>
    </w:p>
    <w:p w14:paraId="23ED7F2D">
      <w:pPr>
        <w:spacing w:line="400" w:lineRule="exact"/>
        <w:ind w:firstLine="570"/>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为适应新设备与测量技术的发展，</w:t>
      </w:r>
      <w:r>
        <w:rPr>
          <w:rFonts w:hint="eastAsia" w:ascii="Times New Roman" w:hAnsi="Times New Roman" w:eastAsia="宋体" w:cs="Times New Roman"/>
          <w:sz w:val="28"/>
          <w:szCs w:val="28"/>
          <w:lang w:val="en-US" w:eastAsia="zh-CN"/>
        </w:rPr>
        <w:t>规范校准过程，确保量值一致，是本规范制定目的。</w:t>
      </w:r>
      <w:r>
        <w:rPr>
          <w:rFonts w:hint="default" w:ascii="Times New Roman" w:hAnsi="Times New Roman" w:eastAsia="宋体" w:cs="Times New Roman"/>
          <w:sz w:val="28"/>
          <w:szCs w:val="28"/>
          <w:lang w:eastAsia="zh-CN"/>
        </w:rPr>
        <w:t>本规范可为2π光通量的校准提供依据，有助于规范此仪器的光通量量值</w:t>
      </w:r>
      <w:r>
        <w:rPr>
          <w:rFonts w:hint="eastAsia" w:ascii="Times New Roman" w:hAnsi="Times New Roman" w:eastAsia="宋体" w:cs="Times New Roman"/>
          <w:sz w:val="28"/>
          <w:szCs w:val="28"/>
          <w:lang w:val="en-US" w:eastAsia="zh-CN"/>
        </w:rPr>
        <w:t>测量结果</w:t>
      </w:r>
      <w:r>
        <w:rPr>
          <w:rFonts w:hint="default" w:ascii="Times New Roman" w:hAnsi="Times New Roman" w:eastAsia="宋体" w:cs="Times New Roman"/>
          <w:sz w:val="28"/>
          <w:szCs w:val="28"/>
          <w:lang w:eastAsia="zh-CN"/>
        </w:rPr>
        <w:t>。为特殊照明行业确保量值的准确传递，并规范和统一全国相关</w:t>
      </w:r>
      <w:r>
        <w:rPr>
          <w:rFonts w:hint="eastAsia" w:ascii="Times New Roman" w:hAnsi="Times New Roman" w:eastAsia="宋体" w:cs="Times New Roman"/>
          <w:sz w:val="28"/>
          <w:szCs w:val="28"/>
          <w:lang w:val="en-US" w:eastAsia="zh-CN"/>
        </w:rPr>
        <w:t>设备的</w:t>
      </w:r>
      <w:r>
        <w:rPr>
          <w:rFonts w:hint="default" w:ascii="Times New Roman" w:hAnsi="Times New Roman" w:eastAsia="宋体" w:cs="Times New Roman"/>
          <w:sz w:val="28"/>
          <w:szCs w:val="28"/>
          <w:lang w:eastAsia="zh-CN"/>
        </w:rPr>
        <w:t>光通量量值。</w:t>
      </w:r>
    </w:p>
    <w:p w14:paraId="0C6E7850">
      <w:pPr>
        <w:spacing w:line="400" w:lineRule="exact"/>
        <w:rPr>
          <w:rFonts w:hint="eastAsia" w:ascii="宋体" w:cs="宋体"/>
          <w:kern w:val="0"/>
          <w:sz w:val="28"/>
          <w:szCs w:val="28"/>
          <w:lang w:eastAsia="zh-CN"/>
        </w:rPr>
      </w:pPr>
    </w:p>
    <w:p w14:paraId="42AFDEDB">
      <w:pPr>
        <w:numPr>
          <w:ilvl w:val="0"/>
          <w:numId w:val="1"/>
        </w:numPr>
        <w:spacing w:line="400" w:lineRule="exact"/>
        <w:rPr>
          <w:sz w:val="28"/>
        </w:rPr>
      </w:pPr>
      <w:r>
        <w:rPr>
          <w:rFonts w:hint="eastAsia"/>
          <w:color w:val="auto"/>
          <w:sz w:val="28"/>
        </w:rPr>
        <w:t>制</w:t>
      </w:r>
      <w:r>
        <w:rPr>
          <w:rFonts w:hint="eastAsia"/>
          <w:color w:val="auto"/>
          <w:sz w:val="28"/>
          <w:szCs w:val="28"/>
        </w:rPr>
        <w:t>定</w:t>
      </w:r>
      <w:r>
        <w:rPr>
          <w:rFonts w:hint="eastAsia"/>
          <w:sz w:val="28"/>
        </w:rPr>
        <w:t>的主要内容</w:t>
      </w:r>
    </w:p>
    <w:p w14:paraId="4EF41E2C">
      <w:pPr>
        <w:spacing w:line="400" w:lineRule="exact"/>
        <w:ind w:firstLine="570"/>
        <w:rPr>
          <w:rFonts w:hint="eastAsia" w:ascii="Times New Roman" w:hAnsi="Times New Roman" w:eastAsia="宋体" w:cs="Times New Roman"/>
          <w:sz w:val="28"/>
          <w:szCs w:val="28"/>
          <w:lang w:val="en-US" w:eastAsia="zh-CN"/>
        </w:rPr>
      </w:pPr>
      <w:bookmarkStart w:id="0" w:name="_GoBack"/>
      <w:bookmarkEnd w:id="0"/>
      <w:r>
        <w:rPr>
          <w:rFonts w:hint="default" w:ascii="Times New Roman" w:hAnsi="Times New Roman" w:eastAsia="宋体" w:cs="Times New Roman"/>
          <w:sz w:val="28"/>
          <w:szCs w:val="28"/>
          <w:lang w:val="en-US" w:eastAsia="zh-CN"/>
        </w:rPr>
        <w:t>2π光</w:t>
      </w:r>
      <w:r>
        <w:rPr>
          <w:rFonts w:hint="eastAsia" w:ascii="Times New Roman" w:hAnsi="Times New Roman" w:eastAsia="宋体" w:cs="Times New Roman"/>
          <w:sz w:val="28"/>
          <w:szCs w:val="28"/>
          <w:lang w:val="en-US" w:eastAsia="zh-CN"/>
        </w:rPr>
        <w:t>通量计校准规范主要的内容包括：概述、计量特性、校准条件、测量标准、测试设备、校准方法、校准结果的处理和表达等。</w:t>
      </w:r>
    </w:p>
    <w:p w14:paraId="3212632B">
      <w:pPr>
        <w:spacing w:line="400" w:lineRule="exact"/>
        <w:ind w:firstLine="420" w:firstLineChars="0"/>
        <w:rPr>
          <w:rFonts w:hint="eastAsia" w:ascii="宋体" w:cs="宋体"/>
          <w:kern w:val="0"/>
          <w:sz w:val="28"/>
          <w:szCs w:val="28"/>
          <w:lang w:eastAsia="zh-CN"/>
        </w:rPr>
      </w:pPr>
      <w:r>
        <w:rPr>
          <w:rFonts w:hint="default" w:ascii="Times New Roman" w:hAnsi="Times New Roman" w:eastAsia="宋体" w:cs="Times New Roman"/>
          <w:sz w:val="28"/>
          <w:szCs w:val="28"/>
          <w:lang w:val="en-US" w:eastAsia="zh-CN"/>
        </w:rPr>
        <w:t>2π光</w:t>
      </w:r>
      <w:r>
        <w:rPr>
          <w:rFonts w:hint="eastAsia" w:ascii="Times New Roman" w:hAnsi="Times New Roman" w:eastAsia="宋体" w:cs="Times New Roman"/>
          <w:sz w:val="28"/>
          <w:szCs w:val="28"/>
          <w:lang w:val="en-US" w:eastAsia="zh-CN"/>
        </w:rPr>
        <w:t>通量计校准规范</w:t>
      </w:r>
      <w:r>
        <w:rPr>
          <w:rFonts w:ascii="宋体" w:cs="宋体"/>
          <w:kern w:val="0"/>
          <w:sz w:val="28"/>
          <w:szCs w:val="28"/>
        </w:rPr>
        <w:t>从以下方面对被</w:t>
      </w:r>
      <w:r>
        <w:rPr>
          <w:rFonts w:hint="eastAsia" w:ascii="宋体" w:cs="宋体"/>
          <w:kern w:val="0"/>
          <w:sz w:val="28"/>
          <w:szCs w:val="28"/>
          <w:lang w:val="en-US" w:eastAsia="zh-CN"/>
        </w:rPr>
        <w:t>校准</w:t>
      </w:r>
      <w:r>
        <w:rPr>
          <w:rFonts w:hint="eastAsia" w:ascii="宋体" w:cs="宋体"/>
          <w:kern w:val="0"/>
          <w:sz w:val="28"/>
          <w:szCs w:val="28"/>
        </w:rPr>
        <w:t>计量器具</w:t>
      </w:r>
      <w:r>
        <w:rPr>
          <w:rFonts w:ascii="宋体" w:cs="宋体"/>
          <w:kern w:val="0"/>
          <w:sz w:val="28"/>
          <w:szCs w:val="28"/>
        </w:rPr>
        <w:t>提出要求：</w:t>
      </w:r>
      <w:r>
        <w:rPr>
          <w:rFonts w:hint="eastAsia" w:ascii="宋体" w:cs="宋体"/>
          <w:kern w:val="0"/>
          <w:sz w:val="28"/>
          <w:szCs w:val="28"/>
        </w:rPr>
        <w:t>相对示值误差 ±5%</w:t>
      </w:r>
    </w:p>
    <w:p w14:paraId="3FFA5C23">
      <w:pPr>
        <w:spacing w:line="400" w:lineRule="exact"/>
        <w:rPr>
          <w:rFonts w:hint="eastAsia" w:ascii="宋体" w:cs="宋体"/>
          <w:kern w:val="0"/>
          <w:sz w:val="28"/>
          <w:szCs w:val="28"/>
          <w:lang w:eastAsia="zh-CN"/>
        </w:rPr>
      </w:pPr>
    </w:p>
    <w:p w14:paraId="16AE1A69">
      <w:pPr>
        <w:numPr>
          <w:ilvl w:val="0"/>
          <w:numId w:val="1"/>
        </w:numPr>
        <w:spacing w:line="400" w:lineRule="exact"/>
        <w:rPr>
          <w:sz w:val="28"/>
        </w:rPr>
      </w:pPr>
      <w:r>
        <w:rPr>
          <w:rFonts w:hint="eastAsia"/>
          <w:color w:val="auto"/>
          <w:sz w:val="28"/>
        </w:rPr>
        <w:t>制</w:t>
      </w:r>
      <w:r>
        <w:rPr>
          <w:rFonts w:hint="eastAsia"/>
          <w:color w:val="auto"/>
          <w:sz w:val="28"/>
          <w:szCs w:val="28"/>
        </w:rPr>
        <w:t>定</w:t>
      </w:r>
      <w:r>
        <w:rPr>
          <w:rFonts w:hint="eastAsia"/>
          <w:sz w:val="28"/>
        </w:rPr>
        <w:t>过程</w:t>
      </w:r>
    </w:p>
    <w:p w14:paraId="5232151D">
      <w:pPr>
        <w:spacing w:line="400" w:lineRule="exact"/>
        <w:ind w:firstLine="570"/>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编写组</w:t>
      </w:r>
      <w:r>
        <w:rPr>
          <w:rFonts w:hint="eastAsia" w:ascii="Times New Roman" w:hAnsi="Times New Roman" w:eastAsia="宋体" w:cs="Times New Roman"/>
          <w:sz w:val="28"/>
          <w:szCs w:val="28"/>
          <w:lang w:val="en-US" w:eastAsia="zh-CN"/>
        </w:rPr>
        <w:t>的</w:t>
      </w:r>
      <w:r>
        <w:rPr>
          <w:rFonts w:hint="default" w:ascii="Times New Roman" w:hAnsi="Times New Roman" w:eastAsia="宋体" w:cs="Times New Roman"/>
          <w:sz w:val="28"/>
          <w:szCs w:val="28"/>
          <w:lang w:val="en-US" w:eastAsia="zh-CN"/>
        </w:rPr>
        <w:t>研究单位</w:t>
      </w:r>
      <w:r>
        <w:rPr>
          <w:rFonts w:hint="eastAsia" w:ascii="Times New Roman" w:hAnsi="Times New Roman" w:eastAsia="宋体" w:cs="Times New Roman"/>
          <w:sz w:val="28"/>
          <w:szCs w:val="28"/>
          <w:lang w:val="en-US" w:eastAsia="zh-CN"/>
        </w:rPr>
        <w:t>之一</w:t>
      </w:r>
      <w:r>
        <w:rPr>
          <w:rFonts w:hint="default" w:ascii="Times New Roman" w:hAnsi="Times New Roman" w:eastAsia="宋体" w:cs="Times New Roman"/>
          <w:sz w:val="28"/>
          <w:szCs w:val="28"/>
          <w:lang w:val="en-US" w:eastAsia="zh-CN"/>
        </w:rPr>
        <w:t>中国计量科学研究院负责建立和复现坎德拉基本单位及总光通量单位，在国内开展光度的量值传递工作。在前期工作中，</w:t>
      </w:r>
      <w:r>
        <w:rPr>
          <w:rFonts w:hint="eastAsia" w:ascii="Times New Roman" w:hAnsi="Times New Roman" w:eastAsia="宋体" w:cs="Times New Roman"/>
          <w:sz w:val="28"/>
          <w:szCs w:val="28"/>
          <w:lang w:val="en-US" w:eastAsia="zh-CN"/>
        </w:rPr>
        <w:t>所有的</w:t>
      </w:r>
      <w:r>
        <w:rPr>
          <w:rFonts w:hint="default" w:ascii="Times New Roman" w:hAnsi="Times New Roman" w:eastAsia="宋体" w:cs="Times New Roman"/>
          <w:sz w:val="28"/>
          <w:szCs w:val="28"/>
          <w:lang w:val="en-US" w:eastAsia="zh-CN"/>
        </w:rPr>
        <w:t>研究单位均已开展2π光通量计的计量技术研究，初步实现了2π光通量计量值计量和量值传递工作，撰写了2π光通量计自编校准文件的初稿，已具备了完整的相关技术条件。参加制定规程的人员长期从事光度量值的计量科研和量值传递工作，积累了相关经验</w:t>
      </w:r>
      <w:r>
        <w:rPr>
          <w:rFonts w:hint="eastAsia" w:ascii="Times New Roman" w:hAnsi="Times New Roman" w:eastAsia="宋体" w:cs="Times New Roman"/>
          <w:sz w:val="28"/>
          <w:szCs w:val="28"/>
          <w:lang w:val="en-US" w:eastAsia="zh-CN"/>
        </w:rPr>
        <w:t>和</w:t>
      </w:r>
      <w:r>
        <w:rPr>
          <w:rFonts w:hint="default" w:ascii="Times New Roman" w:hAnsi="Times New Roman" w:eastAsia="宋体" w:cs="Times New Roman"/>
          <w:sz w:val="28"/>
          <w:szCs w:val="28"/>
          <w:lang w:val="en-US" w:eastAsia="zh-CN"/>
        </w:rPr>
        <w:t>2π光通量计计量技术相关的大量实验数据。</w:t>
      </w:r>
    </w:p>
    <w:p w14:paraId="27F1411E">
      <w:pPr>
        <w:spacing w:line="400" w:lineRule="exact"/>
        <w:ind w:firstLine="420" w:firstLineChars="0"/>
        <w:rPr>
          <w:rFonts w:hint="eastAsia" w:ascii="Times New Roman" w:hAnsi="Times New Roman" w:eastAsia="宋体" w:cs="Times New Roman"/>
          <w:color w:val="000000"/>
          <w:sz w:val="28"/>
          <w:szCs w:val="28"/>
          <w:lang w:val="en-US" w:eastAsia="zh-CN"/>
        </w:rPr>
      </w:pPr>
      <w:r>
        <w:rPr>
          <w:rFonts w:hint="eastAsia" w:ascii="宋体" w:hAnsi="宋体"/>
          <w:color w:val="000000"/>
          <w:sz w:val="28"/>
          <w:szCs w:val="28"/>
        </w:rPr>
        <w:t>规范编写组在202</w:t>
      </w:r>
      <w:r>
        <w:rPr>
          <w:rFonts w:hint="eastAsia" w:ascii="宋体" w:hAnsi="宋体"/>
          <w:color w:val="000000"/>
          <w:sz w:val="28"/>
          <w:szCs w:val="28"/>
          <w:lang w:val="en-US" w:eastAsia="zh-CN"/>
        </w:rPr>
        <w:t>4</w:t>
      </w:r>
      <w:r>
        <w:rPr>
          <w:rFonts w:hint="eastAsia" w:ascii="宋体" w:hAnsi="宋体"/>
          <w:color w:val="000000"/>
          <w:sz w:val="28"/>
          <w:szCs w:val="28"/>
        </w:rPr>
        <w:t>年</w:t>
      </w:r>
      <w:r>
        <w:rPr>
          <w:rFonts w:hint="eastAsia" w:ascii="宋体" w:hAnsi="宋体"/>
          <w:color w:val="000000"/>
          <w:sz w:val="28"/>
          <w:szCs w:val="28"/>
          <w:lang w:val="en-US" w:eastAsia="zh-CN"/>
        </w:rPr>
        <w:t>12</w:t>
      </w:r>
      <w:r>
        <w:rPr>
          <w:rFonts w:hint="eastAsia" w:ascii="宋体" w:hAnsi="宋体"/>
          <w:color w:val="000000"/>
          <w:sz w:val="28"/>
          <w:szCs w:val="28"/>
        </w:rPr>
        <w:t>月按照校准规范格式向光学计量技术委员会上报规范项目申报书</w:t>
      </w:r>
      <w:r>
        <w:rPr>
          <w:rFonts w:hint="eastAsia" w:ascii="宋体" w:hAnsi="宋体"/>
          <w:color w:val="000000"/>
          <w:sz w:val="28"/>
          <w:szCs w:val="28"/>
          <w:lang w:eastAsia="zh-CN"/>
        </w:rPr>
        <w:t>，</w:t>
      </w:r>
      <w:r>
        <w:rPr>
          <w:rFonts w:hint="eastAsia" w:ascii="宋体" w:hAnsi="宋体"/>
          <w:color w:val="000000"/>
          <w:sz w:val="28"/>
          <w:szCs w:val="28"/>
          <w:lang w:val="en-US" w:eastAsia="zh-CN"/>
        </w:rPr>
        <w:t>2025年06月获得总局立项。编写组经过充分讨论修改后，形成规范的初稿，并计划根据总局和光委会安排。</w:t>
      </w:r>
      <w:r>
        <w:rPr>
          <w:rFonts w:hint="default" w:ascii="Times New Roman" w:hAnsi="Times New Roman" w:eastAsia="宋体" w:cs="Times New Roman"/>
          <w:color w:val="000000"/>
          <w:sz w:val="28"/>
          <w:szCs w:val="28"/>
        </w:rPr>
        <w:t>编写组</w:t>
      </w:r>
      <w:r>
        <w:rPr>
          <w:rFonts w:hint="eastAsia" w:ascii="Times New Roman" w:hAnsi="Times New Roman" w:eastAsia="宋体" w:cs="Times New Roman"/>
          <w:color w:val="000000"/>
          <w:sz w:val="28"/>
          <w:szCs w:val="28"/>
          <w:lang w:val="en-US" w:eastAsia="zh-CN"/>
        </w:rPr>
        <w:t>计划在2025年10月提交征求意见稿。</w:t>
      </w:r>
    </w:p>
    <w:p w14:paraId="66B16444">
      <w:pPr>
        <w:spacing w:line="400" w:lineRule="exact"/>
        <w:ind w:firstLine="420" w:firstLineChars="0"/>
        <w:rPr>
          <w:rFonts w:hint="default" w:ascii="Times New Roman" w:hAnsi="Times New Roman" w:eastAsia="宋体" w:cs="Times New Roman"/>
          <w:color w:val="000000"/>
          <w:sz w:val="28"/>
          <w:szCs w:val="28"/>
          <w:lang w:val="en-US" w:eastAsia="zh-CN"/>
        </w:rPr>
      </w:pPr>
      <w:r>
        <w:rPr>
          <w:rFonts w:hint="eastAsia" w:ascii="Times New Roman" w:hAnsi="Times New Roman" w:eastAsia="宋体" w:cs="Times New Roman"/>
          <w:color w:val="000000"/>
          <w:sz w:val="28"/>
          <w:szCs w:val="28"/>
          <w:lang w:val="en-US" w:eastAsia="zh-CN"/>
        </w:rPr>
        <w:t>后续制定过程情况将适时根据相关进度更新。</w:t>
      </w:r>
    </w:p>
    <w:p w14:paraId="76A2A1C6">
      <w:pPr>
        <w:spacing w:line="400" w:lineRule="exact"/>
        <w:rPr>
          <w:rFonts w:hint="eastAsia" w:ascii="宋体" w:cs="宋体"/>
          <w:kern w:val="0"/>
          <w:sz w:val="28"/>
          <w:szCs w:val="28"/>
          <w:lang w:eastAsia="zh-CN"/>
        </w:rPr>
      </w:pPr>
    </w:p>
    <w:p w14:paraId="3F1B7BC5">
      <w:pPr>
        <w:wordWrap w:val="0"/>
        <w:spacing w:line="336" w:lineRule="auto"/>
        <w:jc w:val="right"/>
        <w:rPr>
          <w:rFonts w:hint="default" w:ascii="Times New Roman" w:hAnsi="Times New Roman" w:eastAsia="宋体" w:cs="Times New Roman"/>
          <w:color w:val="000000"/>
          <w:sz w:val="28"/>
          <w:szCs w:val="28"/>
        </w:rPr>
      </w:pPr>
      <w:r>
        <w:rPr>
          <w:rFonts w:hint="default" w:ascii="Times New Roman" w:hAnsi="Times New Roman" w:eastAsia="宋体" w:cs="Times New Roman"/>
          <w:color w:val="000000"/>
          <w:sz w:val="28"/>
          <w:szCs w:val="28"/>
        </w:rPr>
        <w:t>2π光通量计校准规范编写组</w:t>
      </w:r>
    </w:p>
    <w:p w14:paraId="1C6813F4">
      <w:pPr>
        <w:spacing w:line="336" w:lineRule="auto"/>
        <w:ind w:firstLine="5373" w:firstLineChars="1919"/>
        <w:jc w:val="right"/>
      </w:pPr>
      <w:r>
        <w:rPr>
          <w:rFonts w:hint="eastAsia" w:ascii="宋体" w:hAnsi="宋体"/>
          <w:color w:val="000000"/>
          <w:sz w:val="28"/>
          <w:szCs w:val="28"/>
        </w:rPr>
        <w:t>202</w:t>
      </w:r>
      <w:r>
        <w:rPr>
          <w:rFonts w:hint="eastAsia" w:ascii="宋体" w:hAnsi="宋体"/>
          <w:color w:val="000000"/>
          <w:sz w:val="28"/>
          <w:szCs w:val="28"/>
          <w:lang w:val="en-US" w:eastAsia="zh-CN"/>
        </w:rPr>
        <w:t>5</w:t>
      </w:r>
      <w:r>
        <w:rPr>
          <w:rFonts w:hint="eastAsia" w:ascii="宋体" w:hAnsi="宋体"/>
          <w:color w:val="000000"/>
          <w:sz w:val="28"/>
          <w:szCs w:val="28"/>
        </w:rPr>
        <w:t xml:space="preserve"> 年 0</w:t>
      </w:r>
      <w:r>
        <w:rPr>
          <w:rFonts w:hint="eastAsia" w:ascii="宋体" w:hAnsi="宋体"/>
          <w:color w:val="000000"/>
          <w:sz w:val="28"/>
          <w:szCs w:val="28"/>
          <w:lang w:val="en-US" w:eastAsia="zh-CN"/>
        </w:rPr>
        <w:t>9</w:t>
      </w:r>
      <w:r>
        <w:rPr>
          <w:rFonts w:hint="eastAsia" w:ascii="宋体" w:hAnsi="宋体"/>
          <w:color w:val="000000"/>
          <w:sz w:val="28"/>
          <w:szCs w:val="28"/>
        </w:rPr>
        <w:t xml:space="preserve">月 </w:t>
      </w:r>
      <w:r>
        <w:rPr>
          <w:rFonts w:hint="eastAsia" w:ascii="宋体" w:hAnsi="宋体"/>
          <w:color w:val="000000"/>
          <w:sz w:val="28"/>
          <w:szCs w:val="28"/>
          <w:lang w:val="en-US" w:eastAsia="zh-CN"/>
        </w:rPr>
        <w:t>20</w:t>
      </w:r>
      <w:r>
        <w:rPr>
          <w:rFonts w:hint="eastAsia" w:ascii="宋体" w:hAnsi="宋体"/>
          <w:color w:val="000000"/>
          <w:sz w:val="28"/>
          <w:szCs w:val="28"/>
        </w:rPr>
        <w:t>日</w:t>
      </w:r>
    </w:p>
    <w:p w14:paraId="31086A9D">
      <w:pPr>
        <w:spacing w:line="400" w:lineRule="exact"/>
        <w:rPr>
          <w:rFonts w:hint="eastAsia" w:ascii="宋体" w:cs="宋体"/>
          <w:kern w:val="0"/>
          <w:sz w:val="28"/>
          <w:szCs w:val="28"/>
          <w:lang w:eastAsia="zh-CN"/>
        </w:rPr>
      </w:pPr>
    </w:p>
    <w:p w14:paraId="038631A4">
      <w:pPr>
        <w:jc w:val="both"/>
        <w:rPr>
          <w:rFonts w:hint="default" w:ascii="Times New Roman" w:hAnsi="Times New Roman" w:cs="Times New Roman"/>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__WRD_EMBED_SUB_45">
    <w:panose1 w:val="02010600030101010101"/>
    <w:charset w:val="86"/>
    <w:family w:val="modern"/>
    <w:pitch w:val="default"/>
    <w:sig w:usb0="00000203" w:usb1="288F0000" w:usb2="00000006" w:usb3="00000000" w:csb0="00040001"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45A12"/>
    <w:multiLevelType w:val="multilevel"/>
    <w:tmpl w:val="69745A12"/>
    <w:lvl w:ilvl="0" w:tentative="0">
      <w:start w:val="1"/>
      <w:numFmt w:val="japaneseCounting"/>
      <w:lvlText w:val="%1、"/>
      <w:lvlJc w:val="left"/>
      <w:pPr>
        <w:tabs>
          <w:tab w:val="left" w:pos="720"/>
        </w:tabs>
        <w:ind w:left="720" w:hanging="720"/>
      </w:pPr>
      <w:rPr>
        <w:rFonts w:hint="default"/>
      </w:rPr>
    </w:lvl>
    <w:lvl w:ilvl="1" w:tentative="0">
      <w:start w:val="1"/>
      <w:numFmt w:val="decimal"/>
      <w:lvlText w:val="%2、"/>
      <w:lvlJc w:val="left"/>
      <w:pPr>
        <w:tabs>
          <w:tab w:val="left" w:pos="1410"/>
        </w:tabs>
        <w:ind w:left="1410" w:hanging="99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4F06F9"/>
    <w:rsid w:val="3C722C08"/>
    <w:rsid w:val="42BD005F"/>
    <w:rsid w:val="7E824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2025-09-20T01:42:35Z</dcterms:created>
  <dc:creator>zhaow</dc:creator>
  <cp:lastModifiedBy>Zhao Weiqiang</cp:lastModifiedBy>
  <dcterms:modified xsi:type="dcterms:W3CDTF">2025-09-20T02:36:38Z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eyJoZGlkIjoiMzEwNTM5NzYwMDRjMzkwZTVkZjY2ODkwMGIxNGU0OTUiLCJ1c2VySWQiOiI0NTQ4NTY3NDQifQ==</vt:lpwstr>
  </property>
  <property fmtid="{D5CDD505-2E9C-101B-9397-08002B2CF9AE}" pid="4" name="ICV">
    <vt:lpwstr>6FC1E7AE8F53422CB087B40668EC5A8F_12</vt:lpwstr>
  </property>
</Properties>
</file>